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mixed, with equity (SPX) and gold (GLD) showing clearer inverse moves versus the dollar, while oil (USO) and broad commodities (COMT) remain only lightly connected. The most meaningful sensitivity is concentrated in GLD, where the negative USD relationship has deepened over the 90D window. SPX shows a moderate negative correlation that has strengthened over time, and Bitcoin’s inverse linkage to the USD is steady but only moderate and not intensifying.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