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generally moved opposite 10-year yields, with the Russell 2000 showing the most pronounced equity-rate sensitivity and the S&amp;P 500 and Nasdaq 100 also fairly responsive. Within sectors, financials show only a modest negative linkage to yields, while utilities currently appear relatively insulated with contained 30D sensitivity.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