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all tracked assets have shown meaningful linkage to the dollar, with sensitivity concentrated in gold (GLD), which has the strongest inverse relationship to DXY and has become even more negatively tied on the 15D window. The S&amp;P 500 (SPX) is also strongly negatively correlated, implying that recent equity gains have tended to line up with dollar weakness. Oil (USO) and broad commodities (COMT) are positively aligned with the USD, while Bitcoin’s (BTC) inverse linkage is noticeable but weaker and more variable than gold’s or equities’.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