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U. S. equities have shown broadly negative sensitivity to moves in the 10-year yield, with the S&amp;P 500 and Russell 2000 more tightly linked to rates than the Nasdaq 100. The Russell 2000’s 90-day correlation is even more negative than its 30-day reading, pointing to a more persistent rate sensitivity in small caps.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