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USD correlations: Over the last 30 trading days, USD sensitivity is concentrated in Gold (GLD), which shows a clearly negative linkage that has been both strong and persistent across the 15D and 90D windows, and in Bitcoin futures, which also lean meaningfully inverse to the dollar. The S&amp;P 500 exhibits a milder, but still negative, relationship to USD, while broad commodities and oil remain relatively contained, showing only weak day‑to‑day co-movement with the dollar.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