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rate sensitivity is most evident in the Russell 2000 and Financials, both showing a moderately negative linkage that suggests smaller caps and banks have been leaning against rising yields. The S&amp;P 500 also shows a negative correlation, but less so, indicating broader equities have been somewhat cushioned relative to these more rate‑exposed pockets. The Nasdaq 100 and Utilities currently show only contained rate sensitivity, though their 90‑day patterns still point to a more traditionally negative relationship with yields over a longer backdrop.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