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and bitcoin, with both tending to weaken when the dollar strengthens, and GLD showing the clearest inverse linkage. SPX, oil, and broad commodities show relatively contained day-to-day co-movement with the dollar, suggesting other drivers have been more important for those assets in the recent window. The stronger 15D and 90D negative correlations for GLD (and to a lesser extent BTC) highlight a more persistent and recently intensified inverse relationship versus the USD.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