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Rates correlations: Over the last 30 trading days, broad U. S. equities have moved inversely with the 10-year yield, with the S&amp;P 500 and Nasdaq showing moderate rate sensitivity and the Russell 2000 displaying the most pronounced equity linkage to yields. The negative correlation for financials is notable, suggesting that higher yields have recently coincided with weaker bank and financial shares rather than the textbook positive relationship.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