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concentrated in defensive, “store-of-value” assets, with gold showing the strongest inverse linkage to the dollar and Bitcoin also moving meaningfully opposite to DXY. The S&amp;P 500 has a moderate negative correlation, suggesting equities have tended to struggle on days when the dollar strengthens, but less so than gold or Bitcoin. Oil and broad commodities show only weak, positive correlations to the USD, indicating that their day-to-day moves have been largely independent of dollar fluctuations.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