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equity benchmarks have generally moved opposite 10-year yields, with the Russell 2000 showing the most pronounced equity-rate linkage and indicating that smaller caps have been the most rate‑sensitive segment. The S&amp;P 500 shows a moderate negative relationship to yields, while the Nasdaq 100 and Utilities have exhibited relatively contained rate sensitivity over this window. Compared with their weaker 15-day readings and more negative 90-day readings, most major indices show that rate influence has been persistent but somewhat less intense recently than over the full 90-day period, with rate exposure effectively concentrated in small caps.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