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gold, where returns tend to move meaningfully opposite the dollar, and that inverse link has strengthened compared with the longer 90-day window. Bitcoin and the S&amp;P 500 also lean negatively vs. the USD, but with more modest and less consistent relationships. In contrast, oil and broad commodities show contained and unstable linkage, with correlations hovering near zero and even flipping sign over different windows.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