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equities have mostly moved opposite to yields, with the Russell 2000 showing the strongest negative linkage, indicating its performance has been particularly sensitive to rate moves. The S&amp;P 500 and Nasdaq 100 also show meaningful negative correlations, though somewhat less intense than small caps. Financials stand out with relatively contained rate sensitivity, while Utilities retain a clear, though more moderate, negative relationship to yields that has been especially pronounced in the most recent 15-day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