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generally moved opposite to 10-year yields, with the Russell 2000 showing the clearest and most persistent negative linkage, indicating that smaller caps have been most sensitive to rate moves. The S&amp;P 500 and Nasdaq 100 also show moderate negative correlations, consistent with broad equities tending to soften when yields rise, though less sharply than small caps. Financials have recently behaved more like the broad market than a classic “rates beneficiary,” with a 30-day correlation close to that of the S&amp;P despite a much more negative 15-day reading. Utilities stand out for their very low 30-day correlation, suggesting that recent rate sensitivity is relatively muted and not a concentrated driver of returns in that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