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GLD and Bitcoin, with both tending to weaken when the dollar strengthens, and GLD showing the most persistent negative relationship across 15D and 90D windows. The S&amp;P 500 has a mild negative correlation to the USD that has been more pronounced over 90 days than in the most recent month. Oil and broad commodities show only contained, slightly positive USD sensitivity, indicating that recent dollar moves have not been a dominant driver for those complexes.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