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rate sensitivity is most pronounced in the Russell 2000 and Financials, both showing fairly strong negative links to moves in the 10-year yield, implying smaller caps and banks have been leaning against rising rates. The S&amp;P 500 shows a more moderate negative relationship, suggesting broader equities are reactive to yields but less tightly coupled than those rate‑sensitive pockets. The Nasdaq 100 and Utilities currently show relatively contained correlations, indicating that recent moves in yields have not been the dominant driver of their day‑to‑day returns. Over the 90‑day window, the Russell 2000’s more negative reading stands out, showing that its rate sensitivity has been both persistent and comparatively concentrated.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