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meaningful USD linkage is concentrated in gold and bitcoin, both showing moderate negative correlations that suggest they have tended to rise when the dollar falls and vice versa. Gold is the standout, with a firmly negative relationship across 15D, 30D, and 90D windows, while bitcoin shows a steadier but slightly weaker inverse pattern. In contrast, the S&amp;P 500, oil, and broad commodities have shown contained and less consistent sensitivity to the dollar, with short- and long-horizon readings that drift around zero.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