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generally moved opposite to 10-year yields, with the Russell 2000 showing the strongest negative linkage and thus the most concentrated equity-rate sensitivity, followed by the S&amp;P 500 and then the Nasdaq 100. The pattern is fairly consistent across 15- and 90-day windows, suggesting that this inverse relationship has been both recent and persistent rather than a short-lived blip.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