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USD correlations: Over the last 30 trading days, USD sensitivity is concentrated in a few assets, with gold showing the strongest inverse linkage to the dollar, followed by the S&amp;P 500 and, to a lesser extent, Bitcoin. Gold’s consistently strong negative correlation across 15D and 30D highlights it as the cleanest “USD mirror,” while the S&amp;P’s negative linkage has also been persistent but slightly weaker. Bitcoin’s inverse relationship has faded versus 15D levels, pointing to a less stable USD connection. Broad commodities show contained correlation, and oil’s moderate positive linkage to the dollar has been easing compared with the 90D window.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