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major U. S. equity benchmarks have been moving clearly opposite to yields, with the Russell 2000 showing the most pronounced equity sensitivity and the S&amp;P 500 and Nasdaq 100 also strongly negatively linked. This suggests rate moves have been weighing more heavily on small caps than on large caps or growth tech, concentrating the equity-rate influence in the Russell 2000.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