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equities and gold, with the S&amp;P 500 and GLD both showing strong inverse moves when the dollar strengthens, and that pattern has intensified in the shorter 15-day window. Commodities and oil have been moving more in step with the USD, with USO showing the clearest positive linkage, suggesting energy prices have recently tended to rise alongside a stronger dollar. Bitcoin’s USD relationship is weaker and more unstable, with only a mild negative link over 30 and 90 days despite a sharper inverse pattern over the last 15 days.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