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U. S. equities have shown broadly negative sensitivity to moves in the 10-year yield, with that influence most concentrated in small caps, where the Russell 2000 has been especially rate‑sensitive. The S&amp;P 500 and Nasdaq 100 also display strong inverse links to yields, suggesting that higher rates have tended to coincide with equity pullbacks across large‑cap growth and broad market benchmarks.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