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GLD and SPX, both showing strong negative linkages, meaning they have tended to fall when the dollar rises and vice versa, with GLD’s inverse relationship especially intense in the most recent 15-day window. USO and broad commodities have moved more in tandem with the dollar, with moderate positive correlations that have strengthened versus the 90-day backdrop. Bitcoin shows a mild, more stable negative relationship with the USD that is weaker than the equity and gold linkages.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