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equities have generally moved opposite 10-year yields, with the Russell 2000 showing the deepest negative linkage and thus the most concentrated equity-rate sensitivity. The S&amp;P 500 and Nasdaq 100 are also moderately negatively tied to yields, consistent with broader growth and valuation pressure when rates move higher. Financials have been negatively correlated as well, suggesting that recent rate moves have not provided the usual support for the sector. Utilities stand out with only a small, slightly positive 30-day correlation, and their 15D/90D readings indicate that their rate sensitivity has been low and unstable.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