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linkages are concentrated in gold and Bitcoin, both showing clear negative sensitivity to a stronger dollar, with gold the standout and its longer window pointing to an even tighter inverse relationship. The S&amp;P 500 shows only a mild negative linkage to the USD on this horizon, while oil and broad commodities have stayed in a contained range where daily moves are only loosely tied to dollar fluctuations. Recent 15-day readings suggest some short-term softening of these relationships, but the 90-day view confirms that gold and, to a lesser extent, equities and Bitcoin have been the most consistently USD-sensitive assets in this set.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