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have shown meaningful negative sensitivity to rising 10-year yields, with the S&amp;P 500 and Russell 2000 moving more inversely than the Nasdaq 100, and the Russell’s 90-day reading reinforcing a persistently tight link to rates. Utilities stand out with some of the strongest and most consistent negative correlations among sectors, highlighting concentrated rate sensitivity there.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