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GLD, BTC, and the S&amp;P 500, all showing moderate inverse moves versus the dollar, while oil and broad commodities have stayed relatively insulated. GLD stands out as the strongest and most consistent USD hedge, with a firmly negative correlation that is stable across 15D and 90D windows. Bitcoin’s inverse linkage to the USD is also persistent, while the S&amp;P’s negative correlation has eased a bit in the very short term but remains similar to its 90D pattern.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