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US equities have shown broad, elevated sensitivity to moves in the 10-year yield, with the Russell 2000 standing out as the most rate-sensitive equity index and the S&amp;P 500 and Nasdaq 100 not far behind. The concentration of influence in small caps suggests that higher yields have been especially challenging for more domestically focused, rate‑dependent companies. Financials and Utilities remain negatively linked to yields but meaningfully less so than the major equity indices, and the 90-day readings indicate that today’s strong equity–rates linkage is a relatively recent development.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