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Over the last 30 trading days, USD sensitivity is concentrated in gold, which has a strong negative linkage, followed closely by the S&amp;P 500; both have become more inversely tied to the dollar lately versus their 90-day patterns. Oil and broad commodities now move moderately in the same direction as the USD, with their positive correlations also somewhat stronger than the 90-day backdrop. Bitcoin shows a weaker, but still negative, relationship to the dollar, and its linkage is notably lighter than that of gold or equities.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