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equity index returns have generally moved opposite to 10Y yields, with the Russell 2000 showing the most pronounced equity-rate sensitivity and the S&amp;P 500 also meaningfully exposed. The Nasdaq 100 is less tightly linked to moves in yields, and utilities currently show relatively contained rate sensitivity despite their traditionally rate‑aware profile. Compared with the 90-day window, the Russell 2000’s correlation has intensified more than large-cap and tech, suggesting that recent moves in smaller caps have been more tightly tied to rate shifts.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