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GLD and Bitcoin, both showing clear inverse moves against the dollar, while equities, broad commodities, and oil have stayed relatively insulated. GLD shows the strongest and most consistent sensitivity, with a firmly negative correlation to the USD across 15D, 30D, and 90D windows. Bitcoin’s negative USD correlation is also persistent, though slightly weaker and more variable than gold’s.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