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benchmarks have generally moved opposite 10-year yields, with the Russell 2000 showing the strongest equity sensitivity and the Nasdaq 100 the least. The S&amp;P 500 and small caps both show more negative correlations over 90 days than over 30, suggesting equity sensitivity to rates has been building over the quarter. Financials have shown relatively contained rate sensitivity in the 30-day window, while Utilities remain consistently defensive, with returns tending to weaken when yields rise across all three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