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clear negative linkages, with gold the most tightly tied to dollar moves and equities and crypto also tending to weaken when the dollar strengthens. USO and broad commodities show only limited USD linkage over this window, suggesting that recent moves there have been driven more by asset-specific factors than by the dollar. The 15D and 90D views broadly confirm this pattern, with gold and Bitcoin retaining persistent negative correlations while oil and broad commodities only show a more noticeable USD relationship over the longer 90D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