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equity indices have shown fairly strong negative sensitivity to moves in the 10-year yield, with the Russell 2000 standing out as the most rate-sensitive equity benchmark and the S&amp;P 500 and Nasdaq 100 not far behind. That influence is concentrated in small caps, where returns have moved most inversely with yield changes, and this pattern has been consistently strong across the 15D and 90D windows. Sector-wise, Financials have been moderately negatively linked to yields despite their traditional rate exposure, while Utilities’ weaker but persistent negative correlations suggest a more defensive, less rate-driven profile.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