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USD correlations: Over the last 30 trading days, USD sensitivity is concentrated in Gold (GLD), which shows the strongest inverse relationship, while the S&amp;P 500 (SPX) and Bitcoin futures also tend to move opposite the dollar, but a bit less tightly. Oil (USO) and broad commodities (COMT) both show a positive linkage to the USD, with oil leading that group. Shorter-window readings mostly reinforce these patterns, with GLD’s and SPX’s negative links intensifying over 15 days, while longer 90-day windows show somewhat weaker but still meaningful USD relationships across the complex.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