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equity index returns have generally moved opposite to 10Y yields, with the Russell 2000 showing the sharpest equity-rate linkage and the S&amp;P 500 following behind. Rate sensitivity in the Nasdaq 100 and Financials is relatively contained, suggesting they have been less directly driven by day-to-day swings in yields. Utilities have flipped from a slightly positive 15D read to a more clearly negative 30D correlation, pointing to a recent shift toward behaving more like a classic rate‑sensitive defensive sector.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