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of which tend to weaken when the dollar strengthens, with gold showing the tightest inverse linkage and bitcoin and the S&amp;P 500 displaying similar, moderate negative ties. This inverse pattern for SPX and BTC has been fairly consistent over 15D and 90D, suggesting a reasonably steady relationship rather than a short-lived blip. In contrast, oil and broad commodities show contained and somewhat unstable USD correlations, with weak 30D readings that sit between mildly positive recent co-moves and more clearly positive 90D tendencies.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