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US equities have shown broadly negative sensitivity to moves in the 10-year yield, with the Russell 2000 standing out as the most rate‑sensitive equity index and keeping that linkage strong across 15D and 90D windows. Large-cap benchmarks (S&amp;P 500 and Nasdaq 100) also exhibit steady, moderately negative correlations, suggesting that higher yields have generally coincided with weaker equity returns. Sector-wise, Financials and Utilities are both negatively tied to yields as well, implying that recent rate moves have not provided the usual relative support to banks and that defensives have remained pressured by higher discount rates. Overall, rate sensitivity is moderately widespread rather than concentrated in a single equity sector or style.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