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and Bitcoin, both showing consistent negative linkages, with gold standing out as the single strongest and most stable inverse relationship across 15D, 30D, and 90D windows. The S&amp;P 500 also leans negatively correlated to the dollar, but its 30D linkage is weaker and less stable than gold’s longer-run pattern. Oil (USO) and broad commodities (COMT) show only mild, positive, and relatively steady correlations, implying that most of the meaningful USD impact in this set is not broadly shared across the commodity complex.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