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indexes have been moderately negatively tied to moves in the 10-year yield, with rate sensitivity most pronounced in small caps (RUT), followed by the S&amp;P 500 and then the Nasdaq 100. Utilities still screen as rate‑sensitive over 30 days, but their linkage has eased versus the more acute 15-day window, suggesting less immediate pressure from yield moves than very recently. Financials show relatively contained 30-day sensitivity to rates, indicating that equity-rate dynamics are currently more concentrated in rate‑sensitive defensives and smaller caps than in the bank-heavy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