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most tightly linked to gold and U. S. equities, with both GLD and the S&amp;P 500 showing moderately negative correlations, and Bitcoin also tending to weaken when the dollar strengthens. This influence is concentrated rather than broad-based, as broad commodities and oil show only mild, positive USD linkage despite a somewhat stronger relationship over 90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