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rate sensitivity is fairly contained for the broad equity benchmarks: the S&amp;P 500, Nasdaq 100, Financials, and Utilities all show only mild day‑to‑day linkage to 10-year yields. In contrast, the Russell 2000 stands out with a more persistent negative relationship to yields, especially over 90 trading days, suggesting smaller caps have been more consistently pressured when rates move higher. Over the 90-day window, correlations for the major equity indices lean more clearly negative, indicating that sustained rate moves have mattered more over time than the recent month’s daily wiggles suggest.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