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show moderate negative sensitivity to 10-year yields, with the Russell 2000 standing out as the most rate‑sensitive equity index and keeping that negative linkage consistently strong over 15D and 90D windows. The S&amp;P 500 and Nasdaq 100 are less tightly coupled to rate moves, and the Nasdaq’s relatively low 30D correlation suggests more contained direct rate sensitivity.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