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gold and, to a lesser extent, Bitcoin, both showing a clear tendency to weaken when the dollar strengthens, with gold the standout linkage across all windows. The S&amp;P 500 shows a moderate negative relationship to the USD over 30 days, but that tie has been stronger over the longer 90-day window, while broad commodities and oil funds currently exhibit only contained and somewhat unstable USD linkages.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