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U.S. equities (S&amp;P 500, Nasdaq 100) and sector proxies (Financials, Utilities) have shown only muted day‑to‑day linkage to moves in the 10-year yield, suggesting limited near-term rate sensitivity in index-level returns. In contrast, the Russell 2000 shows a more persistent negative relationship with yields across 15D, 30D, and especially 90D windows, indicating that smaller-cap stocks have been more consistently pressured when rates rise.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