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moderately negative correlations that imply they tend to weaken when the dollar strengthens. Gold stands out with the strongest inverse linkage to the USD, and this relationship has been consistently tight across 15D and 90D windows. The S&amp;P 500 and Bitcoin show similar, but slightly milder, inverse behavior, while oil and broad commodities sit near zero correlation, suggesting only limited and unstable USD influence on those prices.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