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US equities have broadly moved opposite 10Y yields, with the Russell 2000 showing the strongest negative linkage among the major indices, indicating that small caps have been especially sensitive to rate moves. The S&amp;P 500 and Nasdaq 100 also show strong negative correlations, suggesting higher yields have generally coincided with weaker large-cap and growth/tech performance. Financials have turned more negatively tied to yields than their very muted 15-day read suggests, while utilities currently show little 30-day rate sensitivity, implying that equity-rate dynamics are concentrated in the broad and small-cap indices rather than defensives.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