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all listed assets show a meaningful linkage to the dollar, with equities and gold tending to move opposite DXY, and oil and broad commodities tending to move in the same direction. The strongest relationship is concentrated in gold (GLD), which has shown a consistently firm negative linkage to the USD across 15D, 30D, and 90D windows. The S&amp;P 500 also leans clearly inverse to the dollar, while oil and broad commodities have maintained a moderate positive linkage that has strengthened in the shorter 15D window. Bitcoin’s correlation has been weaker and more variable, but it has leaned more toward moving opposite the dollar over the past 30 days than it did over the longer 90D lookback.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