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all major equity indices and sectors are trading with clear negative sensitivity to 10-year yields, with the Russell 2000 and Financials showing the tightest equity linkage to rate moves. The Russell 2000’s correlation has become more negative versus its 90-day read, while the Nasdaq 100 remains less rate-sensitive than broader equities. Utilities still lean negatively to yields, but their 30-day correlation has eased compared with the more rate‑heavy 15-day window. Overall, rate sensitivity is spread across risk assets rather than concentrated in a single equity sector or index.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