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(GLD) and Bitcoin (BTC), both showing clear inverse moves with the dollar, with gold the standout given its consistently strong negative readings across 15D, 30D, and 90D windows. Equities (SPX) also lean negatively linked to the USD, but that relationship has softened recently versus the stronger inverse pattern over 90D. Oil (USO) and broad commodities (COMT) show only mild and unstable linkage to the dollar, suggesting that recent moves there have been driven more by asset‑specific forces than by USD swings.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