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equity sensitivity to moves in the 10-year yield has been most pronounced in small caps, with the Russell 2000 showing a relatively strong negative linkage, while the S&amp;P 500 and Nasdaq 100 are less tightly tied to rate moves. The Nasdaq 100 and Utilities now show only very mild 30-day sensitivity to yields, even though both had more negative correlations over 90 days, suggesting rate influence on those segments has recently been more contained. Financials sit in the middle of the pack, with a steady but moderate negative relationship to yields across windows.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